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E66" w:rsidRDefault="0029537E">
      <w:pPr>
        <w:spacing w:after="211" w:line="250" w:lineRule="auto"/>
        <w:ind w:left="-5" w:right="0"/>
        <w:jc w:val="left"/>
      </w:pPr>
      <w:r>
        <w:rPr>
          <w:b/>
        </w:rPr>
        <w:t xml:space="preserve">GENERALIDADES: </w:t>
      </w:r>
    </w:p>
    <w:p w:rsidR="007B6E66" w:rsidRDefault="0029537E">
      <w:pPr>
        <w:ind w:left="-5" w:right="35"/>
      </w:pPr>
      <w:r>
        <w:t xml:space="preserve">El </w:t>
      </w:r>
      <w:r w:rsidR="00F77668" w:rsidRPr="00F77668">
        <w:rPr>
          <w:b/>
        </w:rPr>
        <w:t>VAL-8002</w:t>
      </w:r>
      <w:r>
        <w:t xml:space="preserve"> es un espesante acrílico soluble en álcali modificado </w:t>
      </w:r>
      <w:proofErr w:type="spellStart"/>
      <w:r>
        <w:t>hidrofóbicamente</w:t>
      </w:r>
      <w:proofErr w:type="spellEnd"/>
      <w:r>
        <w:t xml:space="preserve"> tipo HASE, usado en pinturas al látex, revestimientos </w:t>
      </w:r>
      <w:proofErr w:type="spellStart"/>
      <w:r>
        <w:t>texturados</w:t>
      </w:r>
      <w:proofErr w:type="spellEnd"/>
      <w:r>
        <w:t>, estucos plásticos entre otros</w:t>
      </w:r>
      <w:r>
        <w:rPr>
          <w:b/>
        </w:rPr>
        <w:t xml:space="preserve"> </w:t>
      </w:r>
    </w:p>
    <w:p w:rsidR="007B6E66" w:rsidRDefault="0029537E">
      <w:pPr>
        <w:spacing w:after="211" w:line="250" w:lineRule="auto"/>
        <w:ind w:left="-5" w:right="0"/>
        <w:jc w:val="left"/>
      </w:pPr>
      <w:r>
        <w:rPr>
          <w:b/>
        </w:rPr>
        <w:t xml:space="preserve">DATOS TÉCNICOS Y PROPIEDADES: </w:t>
      </w:r>
    </w:p>
    <w:p w:rsidR="007B6E66" w:rsidRDefault="0029537E">
      <w:pPr>
        <w:spacing w:after="0" w:line="259" w:lineRule="auto"/>
        <w:ind w:left="-5" w:right="0"/>
        <w:jc w:val="left"/>
      </w:pPr>
      <w:r>
        <w:rPr>
          <w:u w:val="single" w:color="000000"/>
        </w:rPr>
        <w:t xml:space="preserve">Propiedades físicas y químicas del </w:t>
      </w:r>
      <w:r w:rsidR="00F77668" w:rsidRPr="00F77668">
        <w:rPr>
          <w:u w:val="single" w:color="000000"/>
        </w:rPr>
        <w:t>VAL-8002</w:t>
      </w:r>
      <w:r>
        <w:t xml:space="preserve"> </w:t>
      </w:r>
    </w:p>
    <w:tbl>
      <w:tblPr>
        <w:tblStyle w:val="TableGrid"/>
        <w:tblW w:w="4454" w:type="dxa"/>
        <w:tblInd w:w="-102" w:type="dxa"/>
        <w:tblCellMar>
          <w:top w:w="42" w:type="dxa"/>
          <w:left w:w="10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69"/>
        <w:gridCol w:w="1329"/>
        <w:gridCol w:w="1556"/>
      </w:tblGrid>
      <w:tr w:rsidR="007B6E66">
        <w:trPr>
          <w:trHeight w:val="238"/>
        </w:trPr>
        <w:tc>
          <w:tcPr>
            <w:tcW w:w="1570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9"/>
              </w:rPr>
              <w:t xml:space="preserve">Propiedad  </w:t>
            </w:r>
          </w:p>
        </w:tc>
        <w:tc>
          <w:tcPr>
            <w:tcW w:w="1329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FFFF"/>
                <w:sz w:val="19"/>
              </w:rPr>
              <w:t xml:space="preserve">Unidad </w:t>
            </w:r>
          </w:p>
        </w:tc>
        <w:tc>
          <w:tcPr>
            <w:tcW w:w="1556" w:type="dxa"/>
            <w:tcBorders>
              <w:top w:val="single" w:sz="3" w:space="0" w:color="000000"/>
              <w:left w:val="nil"/>
              <w:bottom w:val="single" w:sz="6" w:space="0" w:color="000000"/>
              <w:right w:val="nil"/>
            </w:tcBorders>
            <w:shd w:val="clear" w:color="auto" w:fill="000000"/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color w:val="FFFFFF"/>
                <w:sz w:val="19"/>
              </w:rPr>
              <w:t xml:space="preserve">Valores </w:t>
            </w:r>
          </w:p>
        </w:tc>
      </w:tr>
      <w:tr w:rsidR="007B6E66">
        <w:trPr>
          <w:trHeight w:val="473"/>
        </w:trPr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Apariencia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Líquido blanco lechoso </w:t>
            </w:r>
          </w:p>
        </w:tc>
      </w:tr>
      <w:tr w:rsidR="007B6E66">
        <w:trPr>
          <w:trHeight w:val="474"/>
        </w:trPr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Material no volátil 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% NV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27,5 – 31 </w:t>
            </w:r>
          </w:p>
        </w:tc>
      </w:tr>
      <w:tr w:rsidR="007B6E66">
        <w:trPr>
          <w:trHeight w:val="244"/>
        </w:trPr>
        <w:tc>
          <w:tcPr>
            <w:tcW w:w="1570" w:type="dxa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pH 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pH 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2 – 3.5 </w:t>
            </w:r>
          </w:p>
        </w:tc>
      </w:tr>
      <w:tr w:rsidR="007B6E66">
        <w:trPr>
          <w:trHeight w:val="266"/>
        </w:trPr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Densidad 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t xml:space="preserve">gr/ml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1.03 -1.067 </w:t>
            </w:r>
          </w:p>
        </w:tc>
      </w:tr>
      <w:tr w:rsidR="007B6E66">
        <w:trPr>
          <w:trHeight w:val="265"/>
        </w:trPr>
        <w:tc>
          <w:tcPr>
            <w:tcW w:w="1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Poder espesante 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7B6E66" w:rsidRDefault="0029537E">
            <w:pPr>
              <w:spacing w:after="0" w:line="259" w:lineRule="auto"/>
              <w:ind w:left="0" w:right="0" w:firstLine="0"/>
              <w:jc w:val="left"/>
            </w:pPr>
            <w:r>
              <w:t xml:space="preserve">KU </w:t>
            </w:r>
          </w:p>
        </w:tc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B6E66" w:rsidRDefault="0029537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9"/>
              </w:rPr>
              <w:t xml:space="preserve">80 -98 </w:t>
            </w:r>
          </w:p>
        </w:tc>
      </w:tr>
    </w:tbl>
    <w:p w:rsidR="007B6E66" w:rsidRDefault="0029537E">
      <w:pPr>
        <w:spacing w:after="187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7B6E66" w:rsidRDefault="0029537E">
      <w:pPr>
        <w:spacing w:after="171" w:line="250" w:lineRule="auto"/>
        <w:ind w:left="-5" w:right="0"/>
        <w:jc w:val="left"/>
      </w:pPr>
      <w:r>
        <w:rPr>
          <w:b/>
        </w:rPr>
        <w:t xml:space="preserve">CAMPOS DE APLICACIÓN: </w:t>
      </w:r>
    </w:p>
    <w:p w:rsidR="007B6E66" w:rsidRDefault="0029537E">
      <w:pPr>
        <w:ind w:left="-5" w:right="35"/>
      </w:pPr>
      <w:r>
        <w:t xml:space="preserve">EL </w:t>
      </w:r>
      <w:r w:rsidR="00F77668" w:rsidRPr="00F77668">
        <w:rPr>
          <w:b/>
        </w:rPr>
        <w:t>VAL-</w:t>
      </w:r>
      <w:r w:rsidRPr="00F77668">
        <w:rPr>
          <w:b/>
        </w:rPr>
        <w:t>8002</w:t>
      </w:r>
      <w:r>
        <w:t xml:space="preserve"> ofrece una alternativa de superior balance costo/desempeño cuando se usa como de ajuste final sustituyendo ya parcial los espesantes de tipo celulósico.    </w:t>
      </w:r>
    </w:p>
    <w:p w:rsidR="007B6E66" w:rsidRDefault="0029537E">
      <w:pPr>
        <w:ind w:left="-5" w:right="35"/>
      </w:pPr>
      <w:r>
        <w:t>El producto puede usarse en pinturas arquitectónicas tipo mate presentando las siguientes c</w:t>
      </w:r>
      <w:r>
        <w:t xml:space="preserve">aracterísticas: </w:t>
      </w:r>
    </w:p>
    <w:p w:rsidR="007B6E66" w:rsidRDefault="0029537E" w:rsidP="00F77668">
      <w:pPr>
        <w:pStyle w:val="Prrafodelista"/>
        <w:numPr>
          <w:ilvl w:val="0"/>
          <w:numId w:val="2"/>
        </w:numPr>
        <w:spacing w:after="0"/>
        <w:ind w:right="35"/>
        <w:jc w:val="left"/>
      </w:pPr>
      <w:r>
        <w:t xml:space="preserve">Fácil manipulación e incorporación por ser un producto líquido </w:t>
      </w:r>
    </w:p>
    <w:p w:rsidR="007B6E66" w:rsidRDefault="0029537E" w:rsidP="00F77668">
      <w:pPr>
        <w:pStyle w:val="Prrafodelista"/>
        <w:numPr>
          <w:ilvl w:val="0"/>
          <w:numId w:val="2"/>
        </w:numPr>
        <w:spacing w:after="0"/>
        <w:ind w:right="35"/>
        <w:jc w:val="left"/>
      </w:pPr>
      <w:r>
        <w:t xml:space="preserve">Buena eficiencia de espesamiento a bajas concentraciones </w:t>
      </w:r>
    </w:p>
    <w:p w:rsidR="007B6E66" w:rsidRDefault="0029537E" w:rsidP="00F77668">
      <w:pPr>
        <w:pStyle w:val="Prrafodelista"/>
        <w:numPr>
          <w:ilvl w:val="0"/>
          <w:numId w:val="2"/>
        </w:numPr>
        <w:spacing w:after="0"/>
        <w:ind w:right="35"/>
        <w:jc w:val="left"/>
      </w:pPr>
      <w:r>
        <w:t xml:space="preserve">Compatible en sistemas que contienen concentraciones moderadas de electrolitos </w:t>
      </w:r>
    </w:p>
    <w:p w:rsidR="007B6E66" w:rsidRDefault="0029537E" w:rsidP="00F77668">
      <w:pPr>
        <w:pStyle w:val="Prrafodelista"/>
        <w:numPr>
          <w:ilvl w:val="0"/>
          <w:numId w:val="2"/>
        </w:numPr>
        <w:spacing w:after="0"/>
        <w:ind w:right="35"/>
        <w:jc w:val="left"/>
      </w:pPr>
      <w:r>
        <w:t xml:space="preserve">Mejora las propiedades de aplicación en formulación de pinturas: nivelación, </w:t>
      </w:r>
      <w:proofErr w:type="spellStart"/>
      <w:r>
        <w:t>brochabilidad</w:t>
      </w:r>
      <w:proofErr w:type="spellEnd"/>
      <w:r>
        <w:t xml:space="preserve">  </w:t>
      </w:r>
    </w:p>
    <w:p w:rsidR="007B6E66" w:rsidRDefault="0029537E" w:rsidP="00F77668">
      <w:pPr>
        <w:pStyle w:val="Prrafodelista"/>
        <w:numPr>
          <w:ilvl w:val="0"/>
          <w:numId w:val="2"/>
        </w:numPr>
        <w:spacing w:after="0"/>
        <w:ind w:right="35"/>
        <w:jc w:val="left"/>
      </w:pPr>
      <w:r>
        <w:t xml:space="preserve">Resistente a la degradación enzimática </w:t>
      </w:r>
    </w:p>
    <w:p w:rsidR="007B6E66" w:rsidRDefault="0029537E">
      <w:pPr>
        <w:spacing w:after="202" w:line="259" w:lineRule="auto"/>
        <w:ind w:left="0" w:right="0" w:firstLine="0"/>
        <w:jc w:val="left"/>
      </w:pPr>
      <w:r>
        <w:t xml:space="preserve"> </w:t>
      </w:r>
    </w:p>
    <w:p w:rsidR="0029537E" w:rsidRDefault="0029537E" w:rsidP="0029537E">
      <w:pPr>
        <w:ind w:left="-5" w:right="35"/>
      </w:pPr>
      <w:r>
        <w:t xml:space="preserve">El </w:t>
      </w:r>
      <w:r w:rsidR="00F77668" w:rsidRPr="00F77668">
        <w:rPr>
          <w:b/>
        </w:rPr>
        <w:t>VAL-8002</w:t>
      </w:r>
      <w:r>
        <w:t xml:space="preserve"> también es recomendado para aumentar la viscosidad de diferentes sistemas cargados dispersos en agua tales como </w:t>
      </w:r>
      <w:r>
        <w:t xml:space="preserve">estucos plásticos, </w:t>
      </w:r>
      <w:r w:rsidR="00F77668">
        <w:t>revestimientos texturizados</w:t>
      </w:r>
      <w:r>
        <w:t xml:space="preserve"> y aquellos sistemas donde el aumento del pH permite el hinchamiento del producto y posterior incremento de la viscosidad. </w:t>
      </w:r>
    </w:p>
    <w:p w:rsidR="007B6E66" w:rsidRDefault="0029537E" w:rsidP="0029537E">
      <w:pPr>
        <w:ind w:left="-5" w:right="-83"/>
      </w:pPr>
      <w:r>
        <w:rPr>
          <w:u w:val="single" w:color="000000"/>
        </w:rPr>
        <w:t>Recomendaciones de Uso:</w:t>
      </w:r>
      <w:r>
        <w:t xml:space="preserve"> </w:t>
      </w:r>
    </w:p>
    <w:p w:rsidR="007B6E66" w:rsidRDefault="0029537E">
      <w:pPr>
        <w:ind w:left="-5" w:right="35"/>
      </w:pPr>
      <w:r>
        <w:t xml:space="preserve">El </w:t>
      </w:r>
      <w:r w:rsidR="00F77668" w:rsidRPr="00F77668">
        <w:rPr>
          <w:b/>
        </w:rPr>
        <w:t>VAL-8002</w:t>
      </w:r>
      <w:r>
        <w:t xml:space="preserve"> es un espesante soluble en álcali de buena eficiencia, </w:t>
      </w:r>
      <w:r>
        <w:t xml:space="preserve">basado en un polímero acrílico fuertemente </w:t>
      </w:r>
      <w:proofErr w:type="spellStart"/>
      <w:r>
        <w:t>carboxilado</w:t>
      </w:r>
      <w:proofErr w:type="spellEnd"/>
      <w:r>
        <w:t xml:space="preserve"> que adicionalmente es modificado </w:t>
      </w:r>
      <w:proofErr w:type="spellStart"/>
      <w:r>
        <w:t>hidrofóbicamente</w:t>
      </w:r>
      <w:proofErr w:type="spellEnd"/>
      <w:r>
        <w:t xml:space="preserve"> por lo cual presenta dos mecanismos de espesamiento: el primero se da mediante la neutralización del producto por la adición de una base lo cual promue</w:t>
      </w:r>
      <w:r>
        <w:t>ve el hinchamiento de sus partículas (a pH básico) con un posterior incremento del volumen hidrodinámico de la fase continua; y el segundo mecanismo de espesamiento se da por el carácter asociativo del producto el cual interactúa con los agentes de activid</w:t>
      </w:r>
      <w:r>
        <w:t xml:space="preserve">ad superficial presentes en la formulación de la pintura.     </w:t>
      </w:r>
    </w:p>
    <w:p w:rsidR="007B6E66" w:rsidRDefault="0029537E">
      <w:pPr>
        <w:ind w:left="-5" w:right="35"/>
      </w:pPr>
      <w:r>
        <w:t>La sensibilidad del producto al álcali y su carácter asociativo permite tener una adecuada eficiencia de espesamiento y al mismo tiempo asegura el mantenimiento de las propiedades de aplicación</w:t>
      </w:r>
      <w:r>
        <w:t xml:space="preserve"> de la pintura tales como la resistencia al salpique, al chorreo y nivelación. </w:t>
      </w:r>
    </w:p>
    <w:p w:rsidR="007B6E66" w:rsidRDefault="0029537E" w:rsidP="0029537E">
      <w:pPr>
        <w:spacing w:after="7"/>
        <w:ind w:left="-5" w:right="35"/>
      </w:pPr>
      <w:r>
        <w:t xml:space="preserve">En la práctica se recomienda que el pH del compuesto espesado se ajuste entre 8.0 y 9.0 para evitar variaciones en la viscosidad de las soluciones alcalinas.  El hidróxido de amonio es el álcali más utilizado para el hinchamiento del producto; la cantidad </w:t>
      </w:r>
      <w:r>
        <w:t xml:space="preserve">depende del pH del sistema y de la pureza del amoníaco.  Pueden utilizarse otras bases para este fin, se recomienda hacer las evaluaciones pertinentes y curvas de </w:t>
      </w:r>
      <w:r>
        <w:t xml:space="preserve">espesamiento específicas para cada sistema </w:t>
      </w:r>
    </w:p>
    <w:p w:rsidR="007B6E66" w:rsidRDefault="0029537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6E66" w:rsidRDefault="0029537E">
      <w:pPr>
        <w:ind w:left="-5" w:right="35"/>
      </w:pPr>
      <w:r>
        <w:t xml:space="preserve">El </w:t>
      </w:r>
      <w:r w:rsidRPr="00F77668">
        <w:rPr>
          <w:b/>
        </w:rPr>
        <w:t>VAL-8002</w:t>
      </w:r>
      <w:r>
        <w:t xml:space="preserve"> se utiliza como modificador </w:t>
      </w:r>
      <w:proofErr w:type="spellStart"/>
      <w:r>
        <w:t>reológico</w:t>
      </w:r>
      <w:proofErr w:type="spellEnd"/>
      <w:r>
        <w:t xml:space="preserve"> </w:t>
      </w:r>
      <w:r>
        <w:t xml:space="preserve">de pinturas como espesante de ajuste en la etapa de dilución.  El producto se caracteriza por su versatilidad, ya que se usa en un amplio rango de PVC, como sustituto parcial o total de espesantes celulósicos de alto peso molecular (HEC, CMC)  </w:t>
      </w:r>
    </w:p>
    <w:p w:rsidR="007B6E66" w:rsidRDefault="0029537E">
      <w:pPr>
        <w:ind w:left="-5" w:right="35"/>
      </w:pPr>
      <w:r>
        <w:t xml:space="preserve">El </w:t>
      </w:r>
      <w:r w:rsidRPr="00F77668">
        <w:rPr>
          <w:b/>
        </w:rPr>
        <w:t>VAL-8002</w:t>
      </w:r>
      <w:r>
        <w:t xml:space="preserve"> es </w:t>
      </w:r>
      <w:r>
        <w:t>especialmente recomendado para usarse en pinturas tipo mate formuladas con Látex vinil</w:t>
      </w:r>
      <w:r>
        <w:t xml:space="preserve"> acrílicos tipo </w:t>
      </w:r>
      <w:r w:rsidRPr="0029537E">
        <w:rPr>
          <w:b/>
        </w:rPr>
        <w:t>VAL-8013</w:t>
      </w:r>
      <w:r>
        <w:t xml:space="preserve"> de altos PVC. </w:t>
      </w:r>
    </w:p>
    <w:p w:rsidR="007B6E66" w:rsidRDefault="0029537E">
      <w:pPr>
        <w:ind w:left="-5" w:right="35"/>
      </w:pPr>
      <w:r>
        <w:t>Para la formulación de pinturas o sistemas de alta concentración de electrolitos tales como aquellos formulados con Látex del</w:t>
      </w:r>
      <w:r>
        <w:t xml:space="preserve"> tipo acrílic</w:t>
      </w:r>
      <w:r>
        <w:t xml:space="preserve">o </w:t>
      </w:r>
      <w:proofErr w:type="spellStart"/>
      <w:r>
        <w:t>estirenado</w:t>
      </w:r>
      <w:proofErr w:type="spellEnd"/>
      <w:r>
        <w:t xml:space="preserve"> </w:t>
      </w:r>
      <w:r w:rsidRPr="0029537E">
        <w:rPr>
          <w:b/>
        </w:rPr>
        <w:t>VAL-8053</w:t>
      </w:r>
      <w:r>
        <w:t xml:space="preserve"> </w:t>
      </w:r>
      <w:proofErr w:type="spellStart"/>
      <w:r>
        <w:t>ó</w:t>
      </w:r>
      <w:proofErr w:type="spellEnd"/>
      <w:r>
        <w:t xml:space="preserve"> acrílicos puros </w:t>
      </w:r>
      <w:r w:rsidRPr="0029537E">
        <w:rPr>
          <w:b/>
        </w:rPr>
        <w:t>VAL-8063</w:t>
      </w:r>
      <w:r>
        <w:t xml:space="preserve">, </w:t>
      </w:r>
      <w:r>
        <w:t xml:space="preserve">se recomienda evaluar cuidadosamente la estabilidad para encontrar el punto óptimo de sustitución parcial de los espesantes celulósicos de alto peso molecular. </w:t>
      </w:r>
    </w:p>
    <w:p w:rsidR="007B6E66" w:rsidRDefault="0029537E">
      <w:pPr>
        <w:spacing w:after="211" w:line="250" w:lineRule="auto"/>
        <w:ind w:left="-5" w:right="0"/>
        <w:jc w:val="left"/>
      </w:pPr>
      <w:r>
        <w:rPr>
          <w:b/>
        </w:rPr>
        <w:t xml:space="preserve">MANIPULACIÓN Y ALMACENAMIENTO: </w:t>
      </w:r>
    </w:p>
    <w:p w:rsidR="007B6E66" w:rsidRDefault="0029537E">
      <w:pPr>
        <w:ind w:left="-5" w:right="35"/>
      </w:pPr>
      <w:r>
        <w:t xml:space="preserve">Debe almacenarse en recipientes de polietileno, acero </w:t>
      </w:r>
      <w:proofErr w:type="gramStart"/>
      <w:r>
        <w:t>inoxidable,  vidrio</w:t>
      </w:r>
      <w:proofErr w:type="gramEnd"/>
      <w:r>
        <w:t xml:space="preserve"> o materiales inertes semejantes.  En ningún caso deberá entrar en contacto directo con hierro no protegido contra la oxidación. </w:t>
      </w:r>
    </w:p>
    <w:p w:rsidR="007B6E66" w:rsidRDefault="0029537E">
      <w:pPr>
        <w:ind w:left="-5" w:right="35"/>
      </w:pPr>
      <w:r>
        <w:t xml:space="preserve">Se recomienda que el rango de temperatura de </w:t>
      </w:r>
      <w:proofErr w:type="gramStart"/>
      <w:r>
        <w:t>almacena</w:t>
      </w:r>
      <w:r>
        <w:t>miento  se</w:t>
      </w:r>
      <w:proofErr w:type="gramEnd"/>
      <w:r>
        <w:t xml:space="preserve"> encuentre entre 10 – 30 </w:t>
      </w:r>
      <w:proofErr w:type="spellStart"/>
      <w:r>
        <w:t>ºC</w:t>
      </w:r>
      <w:proofErr w:type="spellEnd"/>
      <w:r>
        <w:t xml:space="preserve"> y se haga en zonas cubiertas, ventiladas y frescas. </w:t>
      </w:r>
    </w:p>
    <w:p w:rsidR="007B6E66" w:rsidRDefault="0029537E">
      <w:pPr>
        <w:spacing w:after="202" w:line="259" w:lineRule="auto"/>
        <w:ind w:left="-5" w:right="0"/>
        <w:jc w:val="left"/>
      </w:pPr>
      <w:r>
        <w:rPr>
          <w:u w:val="single" w:color="000000"/>
        </w:rPr>
        <w:t>Vida Útil:</w:t>
      </w:r>
      <w:r>
        <w:t xml:space="preserve"> </w:t>
      </w:r>
    </w:p>
    <w:p w:rsidR="007B6E66" w:rsidRDefault="0029537E">
      <w:pPr>
        <w:spacing w:after="160"/>
        <w:ind w:left="-5" w:right="35"/>
      </w:pPr>
      <w:r>
        <w:t xml:space="preserve">Siguiendo las condiciones de almacenaje recomendadas, se garantiza seis (6) </w:t>
      </w:r>
      <w:proofErr w:type="gramStart"/>
      <w:r>
        <w:t>meses  de</w:t>
      </w:r>
      <w:proofErr w:type="gramEnd"/>
      <w:r>
        <w:t xml:space="preserve"> vida útil. </w:t>
      </w:r>
    </w:p>
    <w:p w:rsidR="0029537E" w:rsidRDefault="0029537E">
      <w:pPr>
        <w:spacing w:after="160"/>
        <w:ind w:left="-5" w:right="35"/>
      </w:pPr>
    </w:p>
    <w:p w:rsidR="0029537E" w:rsidRDefault="0029537E">
      <w:pPr>
        <w:spacing w:after="211" w:line="250" w:lineRule="auto"/>
        <w:ind w:left="-5" w:right="0"/>
        <w:jc w:val="left"/>
        <w:rPr>
          <w:b/>
        </w:rPr>
      </w:pPr>
    </w:p>
    <w:p w:rsidR="007B6E66" w:rsidRDefault="0029537E">
      <w:pPr>
        <w:spacing w:after="211" w:line="250" w:lineRule="auto"/>
        <w:ind w:left="-5" w:right="0"/>
        <w:jc w:val="left"/>
      </w:pPr>
      <w:r>
        <w:rPr>
          <w:b/>
        </w:rPr>
        <w:t xml:space="preserve">RESPALDO TÉCNICO </w:t>
      </w:r>
    </w:p>
    <w:p w:rsidR="007B6E66" w:rsidRDefault="0029537E">
      <w:pPr>
        <w:ind w:left="-5" w:right="35"/>
      </w:pPr>
      <w:r>
        <w:lastRenderedPageBreak/>
        <w:t xml:space="preserve">La parte primordial de cada producto </w:t>
      </w:r>
      <w:r>
        <w:t xml:space="preserve">de INTEQUIM es el soporte técnico que garantizamos a nuestro cliente. </w:t>
      </w:r>
    </w:p>
    <w:p w:rsidR="0029537E" w:rsidRDefault="0029537E">
      <w:pPr>
        <w:spacing w:after="222"/>
        <w:ind w:left="-5" w:right="35"/>
      </w:pPr>
    </w:p>
    <w:p w:rsidR="007B6E66" w:rsidRDefault="0029537E">
      <w:pPr>
        <w:spacing w:after="222"/>
        <w:ind w:left="-5" w:right="35"/>
      </w:pPr>
      <w:r>
        <w:t xml:space="preserve">Nuestro laboratorio de servicio técnico cuenta: </w:t>
      </w:r>
    </w:p>
    <w:p w:rsidR="007B6E66" w:rsidRDefault="0029537E">
      <w:pPr>
        <w:numPr>
          <w:ilvl w:val="0"/>
          <w:numId w:val="1"/>
        </w:numPr>
        <w:spacing w:after="0"/>
        <w:ind w:left="676" w:right="35" w:hanging="338"/>
      </w:pPr>
      <w:r>
        <w:t xml:space="preserve">Con personal altamente calificado y </w:t>
      </w:r>
      <w:proofErr w:type="gramStart"/>
      <w:r>
        <w:t>con  un</w:t>
      </w:r>
      <w:proofErr w:type="gramEnd"/>
      <w:r>
        <w:t xml:space="preserve"> conocimiento completo de los </w:t>
      </w:r>
    </w:p>
    <w:p w:rsidR="007B6E66" w:rsidRDefault="0029537E">
      <w:pPr>
        <w:spacing w:after="0"/>
        <w:ind w:left="687" w:right="35"/>
      </w:pPr>
      <w:r>
        <w:t xml:space="preserve">procesos </w:t>
      </w:r>
    </w:p>
    <w:p w:rsidR="007B6E66" w:rsidRDefault="0029537E">
      <w:pPr>
        <w:numPr>
          <w:ilvl w:val="0"/>
          <w:numId w:val="1"/>
        </w:numPr>
        <w:spacing w:after="2"/>
        <w:ind w:left="676" w:right="35" w:hanging="338"/>
      </w:pPr>
      <w:r>
        <w:t>Gran variedad de equipos de laboratorio y planta pil</w:t>
      </w:r>
      <w:r>
        <w:t xml:space="preserve">oto para proveer los datos necesarios y obtener así el mejor comportamiento de nuestros productos.  </w:t>
      </w:r>
    </w:p>
    <w:p w:rsidR="007B6E66" w:rsidRDefault="0029537E">
      <w:pPr>
        <w:numPr>
          <w:ilvl w:val="0"/>
          <w:numId w:val="1"/>
        </w:numPr>
        <w:spacing w:after="0"/>
        <w:ind w:left="676" w:right="35" w:hanging="338"/>
      </w:pPr>
      <w:r>
        <w:t xml:space="preserve">Soporte a las aplicaciones existentes </w:t>
      </w:r>
    </w:p>
    <w:p w:rsidR="007B6E66" w:rsidRDefault="0029537E">
      <w:pPr>
        <w:numPr>
          <w:ilvl w:val="0"/>
          <w:numId w:val="1"/>
        </w:numPr>
        <w:spacing w:after="0"/>
        <w:ind w:left="676" w:right="35" w:hanging="338"/>
      </w:pPr>
      <w:r>
        <w:t xml:space="preserve">Desarrollo de nuevos usos para los productos fabricados </w:t>
      </w:r>
      <w:proofErr w:type="gramStart"/>
      <w:r>
        <w:t xml:space="preserve">por  </w:t>
      </w:r>
      <w:proofErr w:type="spellStart"/>
      <w:r>
        <w:t>Intequim</w:t>
      </w:r>
      <w:proofErr w:type="spellEnd"/>
      <w:proofErr w:type="gramEnd"/>
      <w:r>
        <w:t xml:space="preserve">  </w:t>
      </w:r>
    </w:p>
    <w:p w:rsidR="007B6E66" w:rsidRDefault="0029537E">
      <w:pPr>
        <w:spacing w:after="202" w:line="259" w:lineRule="auto"/>
        <w:ind w:left="338" w:right="0" w:firstLine="0"/>
        <w:jc w:val="left"/>
      </w:pPr>
      <w:r>
        <w:t xml:space="preserve"> </w:t>
      </w:r>
    </w:p>
    <w:p w:rsidR="007B6E66" w:rsidRDefault="0029537E">
      <w:pPr>
        <w:ind w:left="-5" w:right="35"/>
      </w:pPr>
      <w:r>
        <w:t xml:space="preserve">El usuario de a nuestros productos será siempre el beneficiario de ésta constante búsqueda de mejores métodos y tecnologías. </w:t>
      </w:r>
    </w:p>
    <w:p w:rsidR="007B6E66" w:rsidRDefault="0029537E">
      <w:pPr>
        <w:ind w:left="-5" w:right="35"/>
      </w:pPr>
      <w:proofErr w:type="spellStart"/>
      <w:r>
        <w:t>Intequim</w:t>
      </w:r>
      <w:proofErr w:type="spellEnd"/>
      <w:r>
        <w:t xml:space="preserve"> no da garantías de tipo alguno exceptuando las que se ajustan a las especificaciones estándar del producto. </w:t>
      </w:r>
    </w:p>
    <w:p w:rsidR="007B6E66" w:rsidRDefault="0029537E">
      <w:pPr>
        <w:ind w:left="-5" w:right="35"/>
      </w:pPr>
      <w:proofErr w:type="spellStart"/>
      <w:r>
        <w:t>Intequim</w:t>
      </w:r>
      <w:proofErr w:type="spellEnd"/>
      <w:r>
        <w:t xml:space="preserve"> se </w:t>
      </w:r>
      <w:r>
        <w:t xml:space="preserve">reserva el derecho de modificar esta literatura técnica sin previo aviso. </w:t>
      </w:r>
    </w:p>
    <w:p w:rsidR="0029537E" w:rsidRDefault="0029537E">
      <w:pPr>
        <w:spacing w:after="177" w:line="250" w:lineRule="auto"/>
        <w:ind w:left="-5" w:right="0"/>
        <w:jc w:val="left"/>
        <w:rPr>
          <w:b/>
        </w:rPr>
      </w:pPr>
    </w:p>
    <w:p w:rsidR="0029537E" w:rsidRDefault="0029537E">
      <w:pPr>
        <w:spacing w:after="177" w:line="250" w:lineRule="auto"/>
        <w:ind w:left="-5" w:right="0"/>
        <w:jc w:val="left"/>
        <w:rPr>
          <w:b/>
        </w:rPr>
      </w:pPr>
    </w:p>
    <w:p w:rsidR="0029537E" w:rsidRDefault="0029537E">
      <w:pPr>
        <w:spacing w:after="177" w:line="250" w:lineRule="auto"/>
        <w:ind w:left="-5" w:right="0"/>
        <w:jc w:val="left"/>
        <w:rPr>
          <w:b/>
        </w:rPr>
      </w:pPr>
    </w:p>
    <w:p w:rsidR="0029537E" w:rsidRDefault="0029537E">
      <w:pPr>
        <w:spacing w:after="177" w:line="250" w:lineRule="auto"/>
        <w:ind w:left="-5" w:right="0"/>
        <w:jc w:val="left"/>
        <w:rPr>
          <w:b/>
        </w:rPr>
      </w:pPr>
    </w:p>
    <w:p w:rsidR="007B6E66" w:rsidRDefault="0029537E">
      <w:pPr>
        <w:spacing w:after="177" w:line="250" w:lineRule="auto"/>
        <w:ind w:left="-5" w:right="0"/>
        <w:jc w:val="left"/>
      </w:pPr>
      <w:r>
        <w:rPr>
          <w:b/>
        </w:rPr>
        <w:t xml:space="preserve">INFORMACIÓN SOBRE EL CUIDADO AL MEDIO AMBIENTE Y DISPOSICIÓN FINAL:  </w:t>
      </w:r>
    </w:p>
    <w:p w:rsidR="007B6E66" w:rsidRDefault="0029537E">
      <w:pPr>
        <w:spacing w:after="24"/>
        <w:ind w:left="-5" w:right="35"/>
      </w:pPr>
      <w:r>
        <w:t>Los residuos del producto son peligrosos y como tales se deben tratar para su disposición final, cumpliendo con</w:t>
      </w:r>
      <w:r>
        <w:t xml:space="preserve"> lo establecido en el decreto 2635 "normas para el control de la recuperación de materiales peligrosos y el manejo de los desechos </w:t>
      </w:r>
      <w:proofErr w:type="gramStart"/>
      <w:r>
        <w:t>peligrosos“</w:t>
      </w:r>
      <w:proofErr w:type="gramEnd"/>
      <w:r>
        <w:t>, por tal motivo se recomienda utilizar en su totalidad el material. Rasgar la etiqueta una vez agotado el conteni</w:t>
      </w:r>
      <w:r>
        <w:t xml:space="preserve">do del envase. Nunca disponga el producto ni los envases en una fuente de agua ni los entierre; para el lavado de los </w:t>
      </w:r>
      <w:r>
        <w:lastRenderedPageBreak/>
        <w:t xml:space="preserve">envases ajústese a las regulaciones locales y si pretende utilizar a una empresa para el manejo de los desechos peligrosos, la misma debe </w:t>
      </w:r>
      <w:r>
        <w:t xml:space="preserve">estar autorizada por el ministerio del ambiente para dicha actividad. El envase no debe ser utilizado para almacenamiento de alimentos ni agua para consumo humano.  </w:t>
      </w:r>
    </w:p>
    <w:p w:rsidR="007B6E66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 xml:space="preserve"> </w:t>
      </w: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  <w:rPr>
          <w:rFonts w:ascii="Arial" w:eastAsia="Arial" w:hAnsi="Arial" w:cs="Arial"/>
          <w:sz w:val="23"/>
        </w:rPr>
      </w:pPr>
    </w:p>
    <w:p w:rsidR="0029537E" w:rsidRDefault="0029537E">
      <w:pPr>
        <w:spacing w:after="0" w:line="259" w:lineRule="auto"/>
        <w:ind w:left="0" w:right="0" w:firstLine="0"/>
        <w:jc w:val="left"/>
      </w:pPr>
      <w:r w:rsidRPr="0029537E">
        <w:t>Fecha de Elaboración: 17/11/2021</w:t>
      </w:r>
    </w:p>
    <w:sectPr w:rsidR="0029537E" w:rsidSect="002953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331" w:right="1467" w:bottom="1902" w:left="1534" w:header="695" w:footer="683" w:gutter="0"/>
      <w:cols w:num="2" w:space="6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37E">
      <w:pPr>
        <w:spacing w:after="0" w:line="240" w:lineRule="auto"/>
      </w:pPr>
      <w:r>
        <w:separator/>
      </w:r>
    </w:p>
  </w:endnote>
  <w:endnote w:type="continuationSeparator" w:id="0">
    <w:p w:rsidR="00000000" w:rsidRDefault="0029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29537E">
    <w:pPr>
      <w:spacing w:after="240" w:line="275" w:lineRule="auto"/>
      <w:ind w:left="0" w:righ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957072</wp:posOffset>
              </wp:positionH>
              <wp:positionV relativeFrom="page">
                <wp:posOffset>8929116</wp:posOffset>
              </wp:positionV>
              <wp:extent cx="5853684" cy="4572"/>
              <wp:effectExtent l="0" t="0" r="0" b="0"/>
              <wp:wrapSquare wrapText="bothSides"/>
              <wp:docPr id="113292" name="Group 1132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684" cy="4572"/>
                        <a:chOff x="0" y="0"/>
                        <a:chExt cx="5853684" cy="4572"/>
                      </a:xfrm>
                    </wpg:grpSpPr>
                    <wps:wsp>
                      <wps:cNvPr id="113410" name="Shape 113410"/>
                      <wps:cNvSpPr/>
                      <wps:spPr>
                        <a:xfrm>
                          <a:off x="0" y="0"/>
                          <a:ext cx="5853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3684" h="9144">
                              <a:moveTo>
                                <a:pt x="0" y="0"/>
                              </a:moveTo>
                              <a:lnTo>
                                <a:pt x="5853684" y="0"/>
                              </a:lnTo>
                              <a:lnTo>
                                <a:pt x="5853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92" style="width:460.92pt;height:0.359985pt;position:absolute;mso-position-horizontal-relative:page;mso-position-horizontal:absolute;margin-left:75.36pt;mso-position-vertical-relative:page;margin-top:703.08pt;" coordsize="58536,45">
              <v:shape id="Shape 113411" style="position:absolute;width:58536;height:91;left:0;top:0;" coordsize="5853684,9144" path="m0,0l5853684,0l58536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>La información y recomendaciones que aparecen en esta publicación son, a nuestro entender enteramente confiables. Las sugerencias ofrecidas para usos o aplicaciones son solamente la opinión de INTEQUIM. Los consumidores deberán hacer sus propias pruebas pa</w:t>
    </w:r>
    <w:r>
      <w:rPr>
        <w:sz w:val="15"/>
      </w:rPr>
      <w:t xml:space="preserve">ra determinar el comportamiento de estos productos en sus objetivos específicos. </w:t>
    </w:r>
  </w:p>
  <w:p w:rsidR="007B6E66" w:rsidRDefault="0029537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29537E">
    <w:pPr>
      <w:spacing w:after="240" w:line="275" w:lineRule="auto"/>
      <w:ind w:left="0" w:righ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957072</wp:posOffset>
              </wp:positionH>
              <wp:positionV relativeFrom="page">
                <wp:posOffset>8929116</wp:posOffset>
              </wp:positionV>
              <wp:extent cx="5853684" cy="4572"/>
              <wp:effectExtent l="0" t="0" r="0" b="0"/>
              <wp:wrapSquare wrapText="bothSides"/>
              <wp:docPr id="113269" name="Group 1132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684" cy="4572"/>
                        <a:chOff x="0" y="0"/>
                        <a:chExt cx="5853684" cy="4572"/>
                      </a:xfrm>
                    </wpg:grpSpPr>
                    <wps:wsp>
                      <wps:cNvPr id="113408" name="Shape 113408"/>
                      <wps:cNvSpPr/>
                      <wps:spPr>
                        <a:xfrm>
                          <a:off x="0" y="0"/>
                          <a:ext cx="5853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3684" h="9144">
                              <a:moveTo>
                                <a:pt x="0" y="0"/>
                              </a:moveTo>
                              <a:lnTo>
                                <a:pt x="5853684" y="0"/>
                              </a:lnTo>
                              <a:lnTo>
                                <a:pt x="5853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69" style="width:460.92pt;height:0.359985pt;position:absolute;mso-position-horizontal-relative:page;mso-position-horizontal:absolute;margin-left:75.36pt;mso-position-vertical-relative:page;margin-top:703.08pt;" coordsize="58536,45">
              <v:shape id="Shape 113409" style="position:absolute;width:58536;height:91;left:0;top:0;" coordsize="5853684,9144" path="m0,0l5853684,0l58536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>La información y recomendaciones que aparecen en esta publicación son, a nuestro entender enteramente confiables. Las sugerencias ofrecidas para usos o aplicaciones son so</w:t>
    </w:r>
    <w:r>
      <w:rPr>
        <w:sz w:val="15"/>
      </w:rPr>
      <w:t xml:space="preserve">lamente la opinión de INTEQUIM. Los consumidores deberán hacer sus propias pruebas para determinar el comportamiento de estos productos en sus objetivos específicos. </w:t>
    </w:r>
  </w:p>
  <w:p w:rsidR="007B6E66" w:rsidRDefault="0029537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29537E">
    <w:pPr>
      <w:spacing w:after="240" w:line="275" w:lineRule="auto"/>
      <w:ind w:left="0" w:right="2" w:firstLine="0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957072</wp:posOffset>
              </wp:positionH>
              <wp:positionV relativeFrom="page">
                <wp:posOffset>8929116</wp:posOffset>
              </wp:positionV>
              <wp:extent cx="5853684" cy="4572"/>
              <wp:effectExtent l="0" t="0" r="0" b="0"/>
              <wp:wrapSquare wrapText="bothSides"/>
              <wp:docPr id="113246" name="Group 113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3684" cy="4572"/>
                        <a:chOff x="0" y="0"/>
                        <a:chExt cx="5853684" cy="4572"/>
                      </a:xfrm>
                    </wpg:grpSpPr>
                    <wps:wsp>
                      <wps:cNvPr id="113406" name="Shape 113406"/>
                      <wps:cNvSpPr/>
                      <wps:spPr>
                        <a:xfrm>
                          <a:off x="0" y="0"/>
                          <a:ext cx="58536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53684" h="9144">
                              <a:moveTo>
                                <a:pt x="0" y="0"/>
                              </a:moveTo>
                              <a:lnTo>
                                <a:pt x="5853684" y="0"/>
                              </a:lnTo>
                              <a:lnTo>
                                <a:pt x="58536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246" style="width:460.92pt;height:0.359985pt;position:absolute;mso-position-horizontal-relative:page;mso-position-horizontal:absolute;margin-left:75.36pt;mso-position-vertical-relative:page;margin-top:703.08pt;" coordsize="58536,45">
              <v:shape id="Shape 113407" style="position:absolute;width:58536;height:91;left:0;top:0;" coordsize="5853684,9144" path="m0,0l5853684,0l585368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sz w:val="15"/>
      </w:rPr>
      <w:t>La información y recomendaciones que aparecen en esta publicación son, a nuestro entender enteramente confiables. Las sugerencias ofrecidas para usos o aplicaciones son solamente la opinión de INTEQUIM. Los consumidores deberán hacer sus propias pruebas pa</w:t>
    </w:r>
    <w:r>
      <w:rPr>
        <w:sz w:val="15"/>
      </w:rPr>
      <w:t xml:space="preserve">ra determinar el comportamiento de estos productos en sus objetivos específicos. </w:t>
    </w:r>
  </w:p>
  <w:p w:rsidR="007B6E66" w:rsidRDefault="0029537E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37E">
      <w:pPr>
        <w:spacing w:after="0" w:line="240" w:lineRule="auto"/>
      </w:pPr>
      <w:r>
        <w:separator/>
      </w:r>
    </w:p>
  </w:footnote>
  <w:footnote w:type="continuationSeparator" w:id="0">
    <w:p w:rsidR="00000000" w:rsidRDefault="0029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29537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684784</wp:posOffset>
          </wp:positionH>
          <wp:positionV relativeFrom="page">
            <wp:posOffset>580136</wp:posOffset>
          </wp:positionV>
          <wp:extent cx="6144769" cy="774192"/>
          <wp:effectExtent l="0" t="0" r="0" b="0"/>
          <wp:wrapSquare wrapText="bothSides"/>
          <wp:docPr id="3" name="Picture 112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32" name="Picture 1120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4769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F77668">
    <w:pPr>
      <w:spacing w:after="0" w:line="259" w:lineRule="auto"/>
      <w:ind w:left="0" w:right="0" w:firstLine="0"/>
      <w:jc w:val="left"/>
    </w:pPr>
    <w:bookmarkStart w:id="1" w:name="_Hlk87003191"/>
    <w:r>
      <w:rPr>
        <w:noProof/>
      </w:rPr>
      <mc:AlternateContent>
        <mc:Choice Requires="wpg">
          <w:drawing>
            <wp:inline distT="0" distB="0" distL="0" distR="0" wp14:anchorId="27581CBD" wp14:editId="7A533B93">
              <wp:extent cx="5742432" cy="841248"/>
              <wp:effectExtent l="0" t="0" r="10795" b="35560"/>
              <wp:docPr id="3952" name="Group 39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2432" cy="841248"/>
                        <a:chOff x="0" y="0"/>
                        <a:chExt cx="6530848" cy="814705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304800" y="470789"/>
                          <a:ext cx="30433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35229" y="470789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304800" y="594233"/>
                          <a:ext cx="213118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" name="Rectangle 14"/>
                      <wps:cNvSpPr/>
                      <wps:spPr>
                        <a:xfrm>
                          <a:off x="465125" y="594233"/>
                          <a:ext cx="26400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Rif: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" name="Rectangle 15"/>
                      <wps:cNvSpPr/>
                      <wps:spPr>
                        <a:xfrm>
                          <a:off x="663245" y="594233"/>
                          <a:ext cx="41556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" name="Rectangle 16"/>
                      <wps:cNvSpPr/>
                      <wps:spPr>
                        <a:xfrm>
                          <a:off x="729094" y="593516"/>
                          <a:ext cx="761492" cy="1263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>J-07504842-3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2454275" y="594233"/>
                          <a:ext cx="30692" cy="1383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9" name="Shape 29"/>
                      <wps:cNvSpPr/>
                      <wps:spPr>
                        <a:xfrm>
                          <a:off x="313944" y="813816"/>
                          <a:ext cx="6216904" cy="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904" h="889">
                              <a:moveTo>
                                <a:pt x="0" y="0"/>
                              </a:moveTo>
                              <a:lnTo>
                                <a:pt x="6216904" y="889"/>
                              </a:lnTo>
                            </a:path>
                          </a:pathLst>
                        </a:custGeom>
                        <a:noFill/>
                        <a:ln w="9144" cap="flat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31" name="Picture 3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612" cy="5334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Rectangle 38"/>
                      <wps:cNvSpPr/>
                      <wps:spPr>
                        <a:xfrm>
                          <a:off x="2626487" y="143256"/>
                          <a:ext cx="186051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LITERATURA TÉCNICA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9" name="Rectangle 39"/>
                      <wps:cNvSpPr/>
                      <wps:spPr>
                        <a:xfrm>
                          <a:off x="4025773" y="143256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0" name="Rectangle 40"/>
                      <wps:cNvSpPr/>
                      <wps:spPr>
                        <a:xfrm>
                          <a:off x="2709926" y="417830"/>
                          <a:ext cx="1263380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Pr="00F1542A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1542A"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VAL-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s-MX"/>
                              </w:rPr>
                              <w:t>8002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1" name="Rectangle 41"/>
                      <wps:cNvSpPr/>
                      <wps:spPr>
                        <a:xfrm>
                          <a:off x="3783457" y="455930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668" w:rsidRDefault="00F77668" w:rsidP="00F7766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7581CBD" id="Group 3952" o:spid="_x0000_s1026" style="width:452.15pt;height:66.25pt;mso-position-horizontal-relative:char;mso-position-vertical-relative:line" coordsize="65308,814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">
              <v:rect id="Rectangle 11" o:spid="_x0000_s1027" style="position:absolute;left:3048;top:4707;width:3043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         </w:t>
                      </w:r>
                    </w:p>
                  </w:txbxContent>
                </v:textbox>
              </v:rect>
              <v:rect id="Rectangle 12" o:spid="_x0000_s1028" style="position:absolute;left:5352;top:4707;width:307;height:1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29" style="position:absolute;left:3048;top:5942;width:2131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16"/>
                        </w:rPr>
                        <w:t xml:space="preserve">       </w:t>
                      </w:r>
                    </w:p>
                  </w:txbxContent>
                </v:textbox>
              </v:rect>
              <v:rect id="Rectangle 14" o:spid="_x0000_s1030" style="position:absolute;left:4651;top:5942;width:26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Rif: </w:t>
                      </w:r>
                    </w:p>
                  </w:txbxContent>
                </v:textbox>
              </v:rect>
              <v:rect id="Rectangle 15" o:spid="_x0000_s1031" style="position:absolute;left:6632;top:5942;width:41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</w:p>
                  </w:txbxContent>
                </v:textbox>
              </v:rect>
              <v:rect id="Rectangle 16" o:spid="_x0000_s1032" style="position:absolute;left:7290;top:5935;width:7615;height:1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>J-07504842-3</w:t>
                      </w:r>
                    </w:p>
                  </w:txbxContent>
                </v:textbox>
              </v:rect>
              <v:rect id="Rectangle 19" o:spid="_x0000_s1033" style="position:absolute;left:24542;top:5942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Shape 29" o:spid="_x0000_s1034" style="position:absolute;left:3139;top:8138;width:62169;height:9;visibility:visible;mso-wrap-style:square;v-text-anchor:top" coordsize="6216904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" path="m,l6216904,889e" filled="f" strokeweight=".72pt">
                <v:path arrowok="t" textboxrect="0,0,6216904,889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5" type="#_x0000_t75" style="position:absolute;width:18486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">
                <v:imagedata r:id="rId2" o:title=""/>
              </v:shape>
              <v:rect id="Rectangle 38" o:spid="_x0000_s1036" style="position:absolute;left:26264;top:1432;width:18605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LITERATURA TÉCNICA </w:t>
                      </w:r>
                    </w:p>
                  </w:txbxContent>
                </v:textbox>
              </v:rect>
              <v:rect id="Rectangle 39" o:spid="_x0000_s1037" style="position:absolute;left:40257;top:143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40" o:spid="_x0000_s1038" style="position:absolute;left:27099;top:4178;width:1263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F77668" w:rsidRPr="00F1542A" w:rsidRDefault="00F77668" w:rsidP="00F77668">
                      <w:pPr>
                        <w:spacing w:after="160" w:line="259" w:lineRule="auto"/>
                        <w:ind w:left="0" w:right="0" w:firstLine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</w:pPr>
                      <w:r w:rsidRPr="00F1542A"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VAL-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s-MX"/>
                        </w:rPr>
                        <w:t>8002</w:t>
                      </w:r>
                    </w:p>
                  </w:txbxContent>
                </v:textbox>
              </v:rect>
              <v:rect id="Rectangle 41" o:spid="_x0000_s1039" style="position:absolute;left:37834;top:455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<v:textbox inset="0,0,0,0">
                  <w:txbxContent>
                    <w:p w:rsidR="00F77668" w:rsidRDefault="00F77668" w:rsidP="00F7766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  <w:bookmarkEnd w:id="1"/>
    <w:r w:rsidR="0029537E">
      <w:rPr>
        <w:sz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E66" w:rsidRDefault="0029537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684784</wp:posOffset>
          </wp:positionH>
          <wp:positionV relativeFrom="page">
            <wp:posOffset>580136</wp:posOffset>
          </wp:positionV>
          <wp:extent cx="6144769" cy="774192"/>
          <wp:effectExtent l="0" t="0" r="0" b="0"/>
          <wp:wrapSquare wrapText="bothSides"/>
          <wp:docPr id="4" name="Picture 1120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032" name="Picture 1120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44769" cy="7741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B6CA7"/>
    <w:multiLevelType w:val="hybridMultilevel"/>
    <w:tmpl w:val="17709AA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582E1D"/>
    <w:multiLevelType w:val="hybridMultilevel"/>
    <w:tmpl w:val="7BE8E7F2"/>
    <w:lvl w:ilvl="0" w:tplc="E0F82DD0">
      <w:start w:val="1"/>
      <w:numFmt w:val="bullet"/>
      <w:lvlText w:val="•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7CEC180">
      <w:start w:val="1"/>
      <w:numFmt w:val="bullet"/>
      <w:lvlText w:val="o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1C6052">
      <w:start w:val="1"/>
      <w:numFmt w:val="bullet"/>
      <w:lvlText w:val="▪"/>
      <w:lvlJc w:val="left"/>
      <w:pPr>
        <w:ind w:left="2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D6A351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4425D2">
      <w:start w:val="1"/>
      <w:numFmt w:val="bullet"/>
      <w:lvlText w:val="o"/>
      <w:lvlJc w:val="left"/>
      <w:pPr>
        <w:ind w:left="3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727F50">
      <w:start w:val="1"/>
      <w:numFmt w:val="bullet"/>
      <w:lvlText w:val="▪"/>
      <w:lvlJc w:val="left"/>
      <w:pPr>
        <w:ind w:left="4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2DC145A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8E66C1A">
      <w:start w:val="1"/>
      <w:numFmt w:val="bullet"/>
      <w:lvlText w:val="o"/>
      <w:lvlJc w:val="left"/>
      <w:pPr>
        <w:ind w:left="5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40C31F2">
      <w:start w:val="1"/>
      <w:numFmt w:val="bullet"/>
      <w:lvlText w:val="▪"/>
      <w:lvlJc w:val="left"/>
      <w:pPr>
        <w:ind w:left="6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66"/>
    <w:rsid w:val="0029537E"/>
    <w:rsid w:val="007B6E66"/>
    <w:rsid w:val="00F7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7DC9F"/>
  <w15:docId w15:val="{CD23AB85-A863-4C6F-830D-6597823F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92" w:line="269" w:lineRule="auto"/>
      <w:ind w:left="10" w:right="48" w:hanging="10"/>
      <w:jc w:val="both"/>
    </w:pPr>
    <w:rPr>
      <w:rFonts w:ascii="Calibri" w:eastAsia="Calibri" w:hAnsi="Calibri" w:cs="Calibri"/>
      <w:color w:val="000000"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F77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8002</vt:lpstr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8002</dc:title>
  <dc:subject/>
  <dc:creator>Michell.Francesconi</dc:creator>
  <cp:keywords/>
  <cp:lastModifiedBy>Jose Daniel Gomez</cp:lastModifiedBy>
  <cp:revision>2</cp:revision>
  <dcterms:created xsi:type="dcterms:W3CDTF">2021-11-18T18:58:00Z</dcterms:created>
  <dcterms:modified xsi:type="dcterms:W3CDTF">2021-11-18T18:58:00Z</dcterms:modified>
</cp:coreProperties>
</file>